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000000"/>
          <w:kern w:val="0"/>
          <w:sz w:val="48"/>
          <w:szCs w:val="48"/>
          <w:lang w:eastAsia="zh-CN"/>
        </w:rPr>
      </w:pPr>
      <w:r>
        <w:rPr>
          <w:rFonts w:hint="eastAsia" w:ascii="方正小标宋简体" w:hAnsi="方正小标宋简体" w:eastAsia="方正小标宋简体" w:cs="方正小标宋简体"/>
          <w:color w:val="000000"/>
          <w:kern w:val="0"/>
          <w:sz w:val="48"/>
          <w:szCs w:val="48"/>
          <w:lang w:eastAsia="zh-CN"/>
        </w:rPr>
        <w:t>做一个有思想、有文化的领衔人</w:t>
      </w:r>
    </w:p>
    <w:p>
      <w:pPr>
        <w:widowControl/>
        <w:jc w:val="center"/>
        <w:rPr>
          <w:rFonts w:hint="eastAsia" w:ascii="方正小标宋简体" w:hAnsi="方正小标宋简体" w:eastAsia="方正小标宋简体" w:cs="方正小标宋简体"/>
          <w:color w:val="000000"/>
          <w:kern w:val="0"/>
          <w:sz w:val="28"/>
          <w:szCs w:val="28"/>
          <w:lang w:eastAsia="zh-CN"/>
        </w:rPr>
      </w:pPr>
      <w:r>
        <w:rPr>
          <w:rFonts w:hint="eastAsia" w:ascii="方正小标宋简体" w:hAnsi="方正小标宋简体" w:eastAsia="方正小标宋简体" w:cs="方正小标宋简体"/>
          <w:color w:val="000000"/>
          <w:kern w:val="0"/>
          <w:sz w:val="28"/>
          <w:szCs w:val="28"/>
          <w:lang w:eastAsia="zh-CN"/>
        </w:rPr>
        <w:t>泸县实验学校</w:t>
      </w:r>
      <w:r>
        <w:rPr>
          <w:rFonts w:hint="eastAsia" w:ascii="方正小标宋简体" w:hAnsi="方正小标宋简体" w:eastAsia="方正小标宋简体" w:cs="方正小标宋简体"/>
          <w:color w:val="000000"/>
          <w:kern w:val="0"/>
          <w:sz w:val="28"/>
          <w:szCs w:val="28"/>
          <w:lang w:val="en-US" w:eastAsia="zh-CN"/>
        </w:rPr>
        <w:t xml:space="preserve">  </w:t>
      </w:r>
      <w:r>
        <w:rPr>
          <w:rFonts w:hint="eastAsia" w:ascii="方正小标宋简体" w:hAnsi="方正小标宋简体" w:eastAsia="方正小标宋简体" w:cs="方正小标宋简体"/>
          <w:color w:val="000000"/>
          <w:kern w:val="0"/>
          <w:sz w:val="28"/>
          <w:szCs w:val="28"/>
          <w:lang w:eastAsia="zh-CN"/>
        </w:rPr>
        <w:t>邓志礼</w:t>
      </w:r>
    </w:p>
    <w:p>
      <w:pPr>
        <w:widowControl/>
        <w:jc w:val="both"/>
        <w:rPr>
          <w:rFonts w:hint="eastAsia" w:ascii="方正小标宋简体" w:hAnsi="方正小标宋简体" w:eastAsia="方正小标宋简体" w:cs="方正小标宋简体"/>
          <w:color w:val="000000"/>
          <w:kern w:val="0"/>
          <w:sz w:val="44"/>
          <w:szCs w:val="44"/>
        </w:rPr>
      </w:pPr>
      <w:bookmarkStart w:id="0" w:name="_GoBack"/>
      <w:bookmarkEnd w:id="0"/>
    </w:p>
    <w:p>
      <w:pPr>
        <w:widowControl/>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一、工作室名称及图标</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（一）工作室名称：品文名校长工作室。</w:t>
      </w:r>
    </w:p>
    <w:p>
      <w:pPr>
        <w:widowControl/>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品文名校长工作室是以泸县实验学校邓志礼领衔的名校长工作室，“品文”的含义：“品”即品牌，本工作室的重点是打造学校的品牌建设；“文”即文化，通过打造学校特色，形成学校品牌，最终内化为学校的文化。</w:t>
      </w:r>
    </w:p>
    <w:p>
      <w:pPr>
        <w:widowControl/>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（二）工作室logo：</w:t>
      </w:r>
    </w:p>
    <w:p>
      <w:pPr>
        <w:widowControl/>
        <w:jc w:val="center"/>
        <w:rPr>
          <w:rFonts w:ascii="仿宋" w:hAnsi="仿宋" w:eastAsia="仿宋" w:cs="仿宋"/>
          <w:color w:val="000000"/>
          <w:kern w:val="0"/>
          <w:sz w:val="28"/>
          <w:szCs w:val="28"/>
        </w:rPr>
      </w:pPr>
      <w:r>
        <w:rPr>
          <w:rFonts w:ascii="仿宋" w:hAnsi="仿宋" w:eastAsia="仿宋" w:cs="仿宋"/>
          <w:color w:val="000000"/>
          <w:kern w:val="0"/>
          <w:sz w:val="28"/>
          <w:szCs w:val="28"/>
        </w:rPr>
        <w:drawing>
          <wp:inline distT="0" distB="0" distL="114300" distR="114300">
            <wp:extent cx="2006600" cy="2009775"/>
            <wp:effectExtent l="0" t="0" r="12700" b="9525"/>
            <wp:docPr id="2" name="图片 2" descr="D:\用户目录\我的文档\Tencent Files\418708422\Image\C2C\3D3775DE82650D8242FD50976ED92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418708422\Image\C2C\3D3775DE82650D8242FD50976ED92E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06600" cy="2009775"/>
                    </a:xfrm>
                    <a:prstGeom prst="rect">
                      <a:avLst/>
                    </a:prstGeom>
                    <a:noFill/>
                    <a:ln>
                      <a:noFill/>
                    </a:ln>
                  </pic:spPr>
                </pic:pic>
              </a:graphicData>
            </a:graphic>
          </wp:inline>
        </w:drawing>
      </w:r>
    </w:p>
    <w:p>
      <w:pPr>
        <w:widowControl/>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寓意：“山高千仞看云飞，更上顶层观日出”。</w:t>
      </w:r>
    </w:p>
    <w:p>
      <w:pPr>
        <w:widowControl/>
        <w:rPr>
          <w:rFonts w:ascii="方正小标宋简体" w:hAnsi="方正小标宋简体" w:eastAsia="方正小标宋简体" w:cs="方正小标宋简体"/>
          <w:color w:val="000000"/>
          <w:kern w:val="0"/>
          <w:sz w:val="28"/>
          <w:szCs w:val="28"/>
        </w:rPr>
      </w:pPr>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二、工作室共同愿景</w:t>
      </w:r>
      <w:r>
        <w:rPr>
          <w:rFonts w:hint="eastAsia" w:ascii="方正小标宋简体" w:hAnsi="方正小标宋简体" w:eastAsia="方正小标宋简体" w:cs="方正小标宋简体"/>
          <w:color w:val="000000"/>
          <w:kern w:val="0"/>
          <w:sz w:val="32"/>
          <w:szCs w:val="32"/>
          <w:lang w:eastAsia="zh-CN"/>
        </w:rPr>
        <w:t>、目标</w:t>
      </w:r>
    </w:p>
    <w:p>
      <w:pPr>
        <w:widowControl/>
        <w:ind w:firstLine="560" w:firstLineChars="200"/>
        <w:jc w:val="left"/>
        <w:rPr>
          <w:sz w:val="28"/>
          <w:szCs w:val="28"/>
        </w:rPr>
      </w:pPr>
      <w:r>
        <w:rPr>
          <w:rFonts w:ascii="仿宋" w:hAnsi="仿宋" w:eastAsia="仿宋" w:cs="仿宋"/>
          <w:color w:val="000000"/>
          <w:kern w:val="0"/>
          <w:sz w:val="28"/>
          <w:szCs w:val="28"/>
        </w:rPr>
        <w:t>以“资源共享、活动共商、携手共进</w:t>
      </w:r>
      <w:r>
        <w:rPr>
          <w:rFonts w:hint="eastAsia" w:ascii="仿宋" w:hAnsi="仿宋" w:eastAsia="仿宋" w:cs="仿宋"/>
          <w:color w:val="000000"/>
          <w:kern w:val="0"/>
          <w:sz w:val="28"/>
          <w:szCs w:val="28"/>
        </w:rPr>
        <w:t>、品牌共建</w:t>
      </w:r>
      <w:r>
        <w:rPr>
          <w:rFonts w:ascii="仿宋" w:hAnsi="仿宋" w:eastAsia="仿宋" w:cs="仿宋"/>
          <w:color w:val="000000"/>
          <w:kern w:val="0"/>
          <w:sz w:val="28"/>
          <w:szCs w:val="28"/>
        </w:rPr>
        <w:t>”为共同愿景，与全体成员</w:t>
      </w:r>
      <w:r>
        <w:rPr>
          <w:rFonts w:hint="eastAsia" w:ascii="仿宋" w:hAnsi="仿宋" w:eastAsia="仿宋" w:cs="仿宋"/>
          <w:color w:val="000000"/>
          <w:kern w:val="0"/>
          <w:sz w:val="28"/>
          <w:szCs w:val="28"/>
        </w:rPr>
        <w:t>共同研究管理策略，创建学校特色品牌，探索教育管理规律，让工作室成为校长学习成长的资源库、交流分享的新平台和助力校长提升的孵化器。</w:t>
      </w:r>
    </w:p>
    <w:p>
      <w:pPr>
        <w:widowControl/>
        <w:rPr>
          <w:rFonts w:ascii="方正小标宋简体" w:hAnsi="方正小标宋简体" w:eastAsia="方正小标宋简体" w:cs="方正小标宋简体"/>
          <w:color w:val="000000"/>
          <w:kern w:val="0"/>
          <w:sz w:val="32"/>
          <w:szCs w:val="32"/>
        </w:rPr>
      </w:pPr>
    </w:p>
    <w:p>
      <w:pPr>
        <w:widowControl/>
        <w:ind w:firstLine="560" w:firstLineChars="200"/>
        <w:jc w:val="left"/>
        <w:rPr>
          <w:rFonts w:ascii="仿宋" w:hAnsi="仿宋" w:eastAsia="仿宋" w:cs="仿宋"/>
          <w:b/>
          <w:color w:val="000000"/>
          <w:kern w:val="0"/>
          <w:sz w:val="28"/>
          <w:szCs w:val="28"/>
        </w:rPr>
      </w:pPr>
      <w:r>
        <w:rPr>
          <w:rFonts w:hint="eastAsia" w:ascii="仿宋" w:hAnsi="仿宋" w:eastAsia="仿宋" w:cs="仿宋"/>
          <w:color w:val="000000"/>
          <w:kern w:val="0"/>
          <w:sz w:val="28"/>
          <w:szCs w:val="28"/>
        </w:rPr>
        <w:t>经过工作室三年的培养与实践，使工作室成员在办学理念、理论素养、管理水平和课题研究等各项能力均有明显提升。工作室成员学校有1所及以上创建为国家级特色品牌学校，有3所及以上创建为省级特色品牌学校，有6所及以上创建为市级特色品牌学校，其他学校全部通过县级特色品牌学校的创建。</w:t>
      </w:r>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eastAsia="zh-CN"/>
        </w:rPr>
        <w:t>三、</w:t>
      </w:r>
      <w:r>
        <w:rPr>
          <w:rFonts w:hint="eastAsia" w:ascii="方正小标宋简体" w:hAnsi="方正小标宋简体" w:eastAsia="方正小标宋简体" w:cs="方正小标宋简体"/>
          <w:color w:val="000000"/>
          <w:kern w:val="0"/>
          <w:sz w:val="32"/>
          <w:szCs w:val="32"/>
        </w:rPr>
        <w:t>专家指导组成员</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刘涛，正高级教师，四川省教科院院长；</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胡运清，正高级教师，泸县进修校常务副校长；</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刘朝贵，正高级教师，泸县教师进修校小学数学教研员。</w:t>
      </w:r>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eastAsia="zh-CN"/>
        </w:rPr>
        <w:t>四、</w:t>
      </w:r>
      <w:r>
        <w:rPr>
          <w:rFonts w:hint="eastAsia" w:ascii="方正小标宋简体" w:hAnsi="方正小标宋简体" w:eastAsia="方正小标宋简体" w:cs="方正小标宋简体"/>
          <w:color w:val="000000"/>
          <w:kern w:val="0"/>
          <w:sz w:val="32"/>
          <w:szCs w:val="32"/>
        </w:rPr>
        <w:t>工作室成员名单</w:t>
      </w:r>
      <w:r>
        <w:rPr>
          <w:rFonts w:hint="eastAsia" w:ascii="方正小标宋简体" w:hAnsi="方正小标宋简体" w:eastAsia="方正小标宋简体" w:cs="方正小标宋简体"/>
          <w:color w:val="000000"/>
          <w:kern w:val="0"/>
          <w:sz w:val="32"/>
          <w:szCs w:val="32"/>
          <w:lang w:eastAsia="zh-CN"/>
        </w:rPr>
        <w:t>及职责</w:t>
      </w:r>
      <w:r>
        <w:rPr>
          <w:rFonts w:hint="eastAsia" w:ascii="方正小标宋简体" w:hAnsi="方正小标宋简体" w:eastAsia="方正小标宋简体" w:cs="方正小标宋简体"/>
          <w:color w:val="000000"/>
          <w:kern w:val="0"/>
          <w:sz w:val="32"/>
          <w:szCs w:val="32"/>
        </w:rPr>
        <w:t xml:space="preserve"> </w:t>
      </w:r>
    </w:p>
    <w:p>
      <w:pPr>
        <w:widowControl/>
        <w:ind w:firstLine="560" w:firstLineChars="200"/>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领衔人简介 </w:t>
      </w:r>
    </w:p>
    <w:p>
      <w:pPr>
        <w:widowControl/>
        <w:ind w:firstLine="560" w:firstLineChars="200"/>
        <w:jc w:val="left"/>
        <w:rPr>
          <w:rFonts w:ascii="仿宋" w:hAnsi="仿宋" w:eastAsia="仿宋" w:cs="仿宋"/>
          <w:color w:val="000000"/>
          <w:kern w:val="0"/>
          <w:sz w:val="28"/>
          <w:szCs w:val="28"/>
        </w:rPr>
      </w:pPr>
      <w:r>
        <w:rPr>
          <w:rFonts w:ascii="仿宋" w:hAnsi="仿宋" w:eastAsia="仿宋" w:cs="仿宋"/>
          <w:color w:val="000000"/>
          <w:kern w:val="0"/>
          <w:sz w:val="28"/>
          <w:szCs w:val="28"/>
        </w:rPr>
        <w:t>邓志礼，男，48岁，大学本科文化，中学政治高级教师，泸县实验学校校长，泸州市政协委员，泸县政协常委, 泸县党外知识分子联谊会副会长，泸县足球协会副主席。多次参加市、县校长培训班专题讲座，有多篇文章在市县获奖，科研课题获市一等奖一项，获市教育优秀成果二等奖一项。2011年参加泸县首届校长优质课竞赛获一等奖，2020年参加第二届校长优质课比赛，获特等奖。先后被评为泸县知名校长、泸州市优秀教师、泸州市民族团结先进个人，荣获建设泸县贡献奖。</w:t>
      </w:r>
    </w:p>
    <w:p>
      <w:pPr>
        <w:widowControl/>
        <w:numPr>
          <w:ilvl w:val="0"/>
          <w:numId w:val="0"/>
        </w:numPr>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 </w:t>
      </w:r>
    </w:p>
    <w:p>
      <w:pPr>
        <w:widowControl/>
        <w:jc w:val="center"/>
        <w:rPr>
          <w:rFonts w:ascii="黑体" w:hAnsi="宋体" w:eastAsia="黑体" w:cs="黑体"/>
          <w:color w:val="000000"/>
          <w:kern w:val="0"/>
          <w:sz w:val="28"/>
          <w:szCs w:val="28"/>
        </w:rPr>
      </w:pPr>
      <w:r>
        <w:rPr>
          <w:sz w:val="28"/>
          <w:szCs w:val="28"/>
        </w:rPr>
        <w:drawing>
          <wp:inline distT="0" distB="0" distL="0" distR="0">
            <wp:extent cx="5142865" cy="2005330"/>
            <wp:effectExtent l="0" t="0" r="6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bright="6000"/>
                    </a:blip>
                    <a:srcRect b="66308"/>
                    <a:stretch>
                      <a:fillRect/>
                    </a:stretch>
                  </pic:blipFill>
                  <pic:spPr>
                    <a:xfrm>
                      <a:off x="0" y="0"/>
                      <a:ext cx="5142865" cy="2005330"/>
                    </a:xfrm>
                    <a:prstGeom prst="rect">
                      <a:avLst/>
                    </a:prstGeom>
                  </pic:spPr>
                </pic:pic>
              </a:graphicData>
            </a:graphic>
          </wp:inline>
        </w:drawing>
      </w:r>
    </w:p>
    <w:p>
      <w:pPr>
        <w:widowControl/>
        <w:jc w:val="center"/>
        <w:rPr>
          <w:rFonts w:ascii="仿宋" w:hAnsi="仿宋" w:eastAsia="仿宋" w:cs="仿宋"/>
          <w:color w:val="000000"/>
          <w:sz w:val="28"/>
          <w:szCs w:val="28"/>
        </w:rPr>
      </w:pPr>
      <w:r>
        <w:rPr>
          <w:sz w:val="28"/>
          <w:szCs w:val="28"/>
        </w:rPr>
        <w:drawing>
          <wp:inline distT="0" distB="0" distL="0" distR="0">
            <wp:extent cx="5161915" cy="398018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lum bright="6000"/>
                    </a:blip>
                    <a:srcRect l="-370" t="33127"/>
                    <a:stretch>
                      <a:fillRect/>
                    </a:stretch>
                  </pic:blipFill>
                  <pic:spPr>
                    <a:xfrm>
                      <a:off x="0" y="0"/>
                      <a:ext cx="5161915" cy="3980180"/>
                    </a:xfrm>
                    <a:prstGeom prst="rect">
                      <a:avLst/>
                    </a:prstGeom>
                  </pic:spPr>
                </pic:pic>
              </a:graphicData>
            </a:graphic>
          </wp:inline>
        </w:drawing>
      </w:r>
    </w:p>
    <w:p>
      <w:pPr>
        <w:widowControl/>
        <w:ind w:firstLine="560" w:firstLineChars="200"/>
        <w:jc w:val="left"/>
        <w:rPr>
          <w:sz w:val="28"/>
          <w:szCs w:val="28"/>
        </w:rPr>
      </w:pPr>
      <w:r>
        <w:rPr>
          <w:rFonts w:hint="eastAsia" w:ascii="仿宋" w:hAnsi="仿宋" w:eastAsia="仿宋" w:cs="仿宋"/>
          <w:color w:val="000000"/>
          <w:kern w:val="0"/>
          <w:sz w:val="28"/>
          <w:szCs w:val="28"/>
        </w:rPr>
        <w:t xml:space="preserve">邓志礼名校长工作室在主持人领导下，按照“协商式、互助式、 实效性”的原则，设立五个专门工作小组，各负其责，协调配合。具体分工如下： </w:t>
      </w:r>
    </w:p>
    <w:p>
      <w:pPr>
        <w:widowControl/>
        <w:ind w:firstLine="560" w:firstLineChars="200"/>
        <w:jc w:val="left"/>
        <w:rPr>
          <w:sz w:val="28"/>
          <w:szCs w:val="28"/>
        </w:rPr>
      </w:pP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一</w:t>
      </w: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 xml:space="preserve">秘书活动组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组长：方勇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组员：王小苹、李晨畅、黄烈冬、周  玲、余  海</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主要职责：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1.工作室活动的通知、组织、实施；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2.工作室交流现场的确定、流程、方式；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3.工作室人员的调配与组合；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4.完成主持人交办的其他工作。 </w:t>
      </w:r>
    </w:p>
    <w:p>
      <w:pPr>
        <w:widowControl/>
        <w:ind w:firstLine="560" w:firstLineChars="200"/>
        <w:jc w:val="left"/>
        <w:rPr>
          <w:sz w:val="28"/>
          <w:szCs w:val="28"/>
        </w:rPr>
      </w:pP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二</w:t>
      </w: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 xml:space="preserve">材料宣传组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组长：程瑜</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组员：张连超、黄仁蓉、彭学军、陈长志</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主要职责： </w:t>
      </w:r>
    </w:p>
    <w:p>
      <w:pPr>
        <w:widowControl/>
        <w:ind w:firstLine="560" w:firstLineChars="200"/>
        <w:jc w:val="left"/>
        <w:rPr>
          <w:sz w:val="28"/>
          <w:szCs w:val="28"/>
        </w:rPr>
      </w:pPr>
      <w:r>
        <w:rPr>
          <w:rFonts w:hint="eastAsia" w:ascii="仿宋" w:hAnsi="仿宋" w:eastAsia="仿宋" w:cs="仿宋"/>
          <w:color w:val="000000"/>
          <w:kern w:val="0"/>
          <w:sz w:val="28"/>
          <w:szCs w:val="28"/>
        </w:rPr>
        <w:t>1. 工作室活动的宣传、报道、总结；</w:t>
      </w:r>
    </w:p>
    <w:p>
      <w:pPr>
        <w:widowControl/>
        <w:ind w:firstLine="560" w:firstLineChars="200"/>
        <w:jc w:val="left"/>
        <w:rPr>
          <w:sz w:val="28"/>
          <w:szCs w:val="28"/>
        </w:rPr>
      </w:pPr>
      <w:r>
        <w:rPr>
          <w:rFonts w:hint="eastAsia" w:ascii="仿宋" w:hAnsi="仿宋" w:eastAsia="仿宋" w:cs="仿宋"/>
          <w:color w:val="000000"/>
          <w:kern w:val="0"/>
          <w:sz w:val="28"/>
          <w:szCs w:val="28"/>
        </w:rPr>
        <w:t>2. 工作室对外的联络与推介；</w:t>
      </w:r>
    </w:p>
    <w:p>
      <w:pPr>
        <w:widowControl/>
        <w:ind w:firstLine="560" w:firstLineChars="200"/>
        <w:jc w:val="left"/>
        <w:rPr>
          <w:sz w:val="28"/>
          <w:szCs w:val="28"/>
        </w:rPr>
      </w:pPr>
      <w:r>
        <w:rPr>
          <w:rFonts w:hint="eastAsia" w:ascii="仿宋" w:hAnsi="仿宋" w:eastAsia="仿宋" w:cs="仿宋"/>
          <w:color w:val="000000"/>
          <w:kern w:val="0"/>
          <w:sz w:val="28"/>
          <w:szCs w:val="28"/>
        </w:rPr>
        <w:t>3. 工作室活动材料的收集、整理与保存。</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 完成主持人交办的其他工作。</w:t>
      </w:r>
    </w:p>
    <w:p>
      <w:pPr>
        <w:widowControl/>
        <w:ind w:firstLine="560" w:firstLineChars="200"/>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三</w:t>
      </w: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后勤保障组</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组长：唐中权</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组员：廖远兵、冯中梅、唐光会、陈作理</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工作职责：</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1.每年年初工作室经费开支预算和年终决算。</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2.工作室经费的使用和发放。</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3.工作室账目的整理与公示。 </w:t>
      </w:r>
    </w:p>
    <w:p>
      <w:pPr>
        <w:widowControl/>
        <w:ind w:firstLine="560" w:firstLineChars="200"/>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四</w:t>
      </w: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课题研究组</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组长：周建华</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组员：汪秋林、吴双利、高仕周</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工作职责：</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1.负责课题研究方案制定及课题立项申请书填写。</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2.负责课题研究过程资料收集及整理。</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3.负责课题研究阶段总结材料及阶段研究计划的制定。</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4.负责课题理论、技术培训(收集材料、主持培训)。</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5.负责课题向课题主管门提交的各项研究计划、总结及其它材料。</w:t>
      </w:r>
    </w:p>
    <w:p>
      <w:pPr>
        <w:widowControl/>
        <w:ind w:firstLine="560" w:firstLineChars="200"/>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五</w:t>
      </w:r>
      <w:r>
        <w:rPr>
          <w:rFonts w:hint="eastAsia" w:ascii="黑体" w:hAnsi="宋体" w:eastAsia="黑体" w:cs="黑体"/>
          <w:color w:val="000000"/>
          <w:kern w:val="0"/>
          <w:sz w:val="28"/>
          <w:szCs w:val="28"/>
          <w:lang w:eastAsia="zh-CN"/>
        </w:rPr>
        <w:t>）</w:t>
      </w:r>
      <w:r>
        <w:rPr>
          <w:rFonts w:hint="eastAsia" w:ascii="黑体" w:hAnsi="宋体" w:eastAsia="黑体" w:cs="黑体"/>
          <w:color w:val="000000"/>
          <w:kern w:val="0"/>
          <w:sz w:val="28"/>
          <w:szCs w:val="28"/>
        </w:rPr>
        <w:t>评价考核组</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组长：叶小辉</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组员：黄祖维、刘德刚、周  兵、邝德树</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工作职责：</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1.工作室成员每年度的考核与评价与公示。</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2.优秀成员的评选。</w:t>
      </w:r>
    </w:p>
    <w:p>
      <w:pPr>
        <w:widowControl/>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五、工作室区域分组情况</w:t>
      </w:r>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eastAsia="zh-CN"/>
        </w:rPr>
        <w:t>五、</w:t>
      </w:r>
      <w:r>
        <w:rPr>
          <w:rFonts w:hint="eastAsia" w:ascii="方正小标宋简体" w:hAnsi="方正小标宋简体" w:eastAsia="方正小标宋简体" w:cs="方正小标宋简体"/>
          <w:color w:val="000000"/>
          <w:kern w:val="0"/>
          <w:sz w:val="32"/>
          <w:szCs w:val="32"/>
        </w:rPr>
        <w:t>工作室区域分组情况</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根据地理位置，以县城福集为中心，将工作室成员所属的22所学校大致划分为四个区域，每个区域确定一所中心学校，建立四个区域互助组，便于开展活动和互助交流。 </w:t>
      </w:r>
    </w:p>
    <w:p>
      <w:pPr>
        <w:rPr>
          <w:rFonts w:ascii="仿宋" w:hAnsi="仿宋" w:eastAsia="仿宋" w:cs="仿宋"/>
          <w:sz w:val="28"/>
          <w:szCs w:val="28"/>
        </w:rPr>
      </w:pPr>
      <w:r>
        <w:rPr>
          <w:rFonts w:hint="eastAsia" w:ascii="仿宋" w:hAnsi="仿宋" w:eastAsia="仿宋" w:cs="仿宋"/>
          <w:sz w:val="28"/>
          <w:szCs w:val="28"/>
        </w:rPr>
        <w:t>　　中心城区（8所）——中心学校：泸县实验学校，成员学校：天兴中心小学校、瓦子中心小学校、牛滩中心小学校、玉蟾街道教育管理中心、城东小学、海潮镇学校、保安中心小学校</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东部片区（4所）——中心学校：玄滩中心小学校；成员学校：石桥中心小学校、毗卢镇学校、马溪中心小学校；</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中部片区（5所）——中心学校：云龙镇学校；成员学校：立石中心小学校、奇峰镇学校、团结中心小学校、云锦小学；</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北部片区（5所）——中心学校：方洞中心小学校；成员学校：嘉明小学、雨坛中心小学校、龙脑桥中心小学校、喻寺中心小学校。</w:t>
      </w:r>
    </w:p>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eastAsia="zh-CN"/>
        </w:rPr>
        <w:t>六、</w:t>
      </w:r>
      <w:r>
        <w:rPr>
          <w:rFonts w:hint="eastAsia" w:ascii="方正小标宋简体" w:hAnsi="方正小标宋简体" w:eastAsia="方正小标宋简体" w:cs="方正小标宋简体"/>
          <w:color w:val="000000"/>
          <w:kern w:val="0"/>
          <w:sz w:val="32"/>
          <w:szCs w:val="32"/>
        </w:rPr>
        <w:t>工作室三年发展规划</w:t>
      </w:r>
    </w:p>
    <w:p>
      <w:pPr>
        <w:widowControl/>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（一）一个规划：</w:t>
      </w:r>
      <w:r>
        <w:rPr>
          <w:rFonts w:hint="eastAsia" w:ascii="仿宋" w:hAnsi="仿宋" w:eastAsia="仿宋" w:cs="仿宋"/>
          <w:kern w:val="0"/>
          <w:sz w:val="28"/>
          <w:szCs w:val="28"/>
        </w:rPr>
        <w:t>研制名工作室建设三年规划和年度工作计划（邓志礼）</w:t>
      </w:r>
    </w:p>
    <w:p>
      <w:pPr>
        <w:widowControl/>
        <w:ind w:firstLine="562" w:firstLineChars="200"/>
        <w:jc w:val="left"/>
        <w:rPr>
          <w:sz w:val="28"/>
          <w:szCs w:val="28"/>
        </w:rPr>
      </w:pPr>
      <w:r>
        <w:rPr>
          <w:rFonts w:hint="eastAsia" w:ascii="仿宋" w:hAnsi="仿宋" w:eastAsia="仿宋" w:cs="仿宋"/>
          <w:b/>
          <w:kern w:val="0"/>
          <w:sz w:val="28"/>
          <w:szCs w:val="28"/>
        </w:rPr>
        <w:t>（二）一次讲座：</w:t>
      </w:r>
      <w:r>
        <w:rPr>
          <w:rFonts w:hint="eastAsia" w:ascii="仿宋" w:hAnsi="仿宋" w:eastAsia="仿宋" w:cs="仿宋"/>
          <w:kern w:val="0"/>
          <w:sz w:val="28"/>
          <w:szCs w:val="28"/>
        </w:rPr>
        <w:t>工作室主持人每年要开设 1次以上的培训讲座或教育论坛；（邓志礼）</w:t>
      </w:r>
    </w:p>
    <w:p>
      <w:pPr>
        <w:widowControl/>
        <w:ind w:firstLine="562" w:firstLineChars="200"/>
        <w:jc w:val="left"/>
        <w:rPr>
          <w:sz w:val="28"/>
          <w:szCs w:val="28"/>
        </w:rPr>
      </w:pPr>
      <w:r>
        <w:rPr>
          <w:rFonts w:hint="eastAsia" w:ascii="仿宋" w:hAnsi="仿宋" w:eastAsia="仿宋" w:cs="仿宋"/>
          <w:b/>
          <w:kern w:val="0"/>
          <w:sz w:val="28"/>
          <w:szCs w:val="28"/>
        </w:rPr>
        <w:t>（三）一个计划：</w:t>
      </w:r>
      <w:r>
        <w:rPr>
          <w:rFonts w:hint="eastAsia" w:ascii="仿宋" w:hAnsi="仿宋" w:eastAsia="仿宋" w:cs="仿宋"/>
          <w:kern w:val="0"/>
          <w:sz w:val="28"/>
          <w:szCs w:val="28"/>
        </w:rPr>
        <w:t>制定工作室校长个人成长计划（各位校长）</w:t>
      </w:r>
    </w:p>
    <w:p>
      <w:pPr>
        <w:widowControl/>
        <w:ind w:firstLine="562" w:firstLineChars="200"/>
        <w:jc w:val="left"/>
        <w:rPr>
          <w:sz w:val="28"/>
          <w:szCs w:val="28"/>
        </w:rPr>
      </w:pPr>
      <w:r>
        <w:rPr>
          <w:rFonts w:hint="eastAsia" w:ascii="仿宋" w:hAnsi="仿宋" w:eastAsia="仿宋" w:cs="仿宋"/>
          <w:b/>
          <w:kern w:val="0"/>
          <w:sz w:val="28"/>
          <w:szCs w:val="28"/>
        </w:rPr>
        <w:t>（四）完成“八个一”活动</w:t>
      </w:r>
      <w:r>
        <w:rPr>
          <w:rFonts w:hint="eastAsia" w:ascii="仿宋" w:hAnsi="仿宋" w:eastAsia="仿宋" w:cs="仿宋"/>
          <w:kern w:val="0"/>
          <w:sz w:val="28"/>
          <w:szCs w:val="28"/>
        </w:rPr>
        <w:t>（各位校长）</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1.创建一个学校品牌。工作室成员围绕本工作室的研究方向，结合本校特点，打造一个学校特色品牌。</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2.获得一个县级以上荣誉。</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3.参与一个课题研究。在主持人带领下，共同协商确定工作室研究课题并开展相关研究，形成一定数量的具有指导意义和推广价值的科研成果。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4.承办一次工作室活动。每月开展一次研究活动，每次活动定期编写活动简报。（各校轮流，三年内走完所有工作成员所属学校）</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5.参与一次交流。工作室成员在每月的活动中，积极主动参与交流发言至少一次。</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6.搞一个讲座。工作室成员三年内每人开设 1次以上的培训讲座或教育论坛。</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7.读一本书。工作室成员至少每年读一本相关理论专著，积极参与读书交流活动。</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8.写一篇论文。工作室成员围绕工作室的课题研究方向，每年上交一篇论文及以上，三年内至少有一篇论文在县级及以上获奖。</w:t>
      </w:r>
    </w:p>
    <w:p>
      <w:pPr>
        <w:widowControl/>
        <w:rPr>
          <w:rFonts w:hint="eastAsia" w:ascii="方正小标宋简体" w:hAnsi="方正小标宋简体" w:eastAsia="方正小标宋简体" w:cs="方正小标宋简体"/>
          <w:color w:val="000000"/>
          <w:kern w:val="0"/>
          <w:sz w:val="32"/>
          <w:szCs w:val="32"/>
          <w:lang w:eastAsia="zh-CN"/>
        </w:rPr>
      </w:pPr>
      <w:r>
        <w:rPr>
          <w:rFonts w:hint="eastAsia" w:ascii="方正小标宋简体" w:hAnsi="方正小标宋简体" w:eastAsia="方正小标宋简体" w:cs="方正小标宋简体"/>
          <w:color w:val="000000"/>
          <w:kern w:val="0"/>
          <w:sz w:val="32"/>
          <w:szCs w:val="32"/>
          <w:lang w:eastAsia="zh-CN"/>
        </w:rPr>
        <w:t>七、工作室章程</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第一条 工作室总则</w:t>
      </w:r>
    </w:p>
    <w:p>
      <w:pPr>
        <w:adjustRightInd w:val="0"/>
        <w:snapToGrid w:val="0"/>
        <w:spacing w:line="660" w:lineRule="exact"/>
        <w:ind w:firstLine="560" w:firstLineChars="200"/>
        <w:jc w:val="left"/>
        <w:rPr>
          <w:sz w:val="28"/>
          <w:szCs w:val="28"/>
        </w:rPr>
      </w:pPr>
      <w:r>
        <w:rPr>
          <w:rFonts w:hint="eastAsia" w:ascii="仿宋" w:hAnsi="仿宋" w:eastAsia="仿宋" w:cs="仿宋"/>
          <w:color w:val="000000"/>
          <w:kern w:val="0"/>
          <w:sz w:val="28"/>
          <w:szCs w:val="28"/>
        </w:rPr>
        <w:t>“品文名校长工作室”（以下简称“工作室”），是根据</w:t>
      </w:r>
      <w:r>
        <w:rPr>
          <w:rFonts w:ascii="仿宋_GB2312" w:eastAsia="仿宋_GB2312"/>
          <w:color w:val="000000"/>
          <w:sz w:val="28"/>
          <w:szCs w:val="28"/>
        </w:rPr>
        <w:t>泸</w:t>
      </w:r>
      <w:r>
        <w:rPr>
          <w:rFonts w:hint="eastAsia" w:ascii="仿宋_GB2312" w:eastAsia="仿宋_GB2312"/>
          <w:color w:val="000000"/>
          <w:sz w:val="28"/>
          <w:szCs w:val="28"/>
        </w:rPr>
        <w:t>县</w:t>
      </w:r>
      <w:r>
        <w:rPr>
          <w:rFonts w:ascii="仿宋_GB2312" w:eastAsia="仿宋_GB2312"/>
          <w:color w:val="000000"/>
          <w:sz w:val="28"/>
          <w:szCs w:val="28"/>
        </w:rPr>
        <w:t>教</w:t>
      </w:r>
      <w:r>
        <w:rPr>
          <w:rFonts w:hint="eastAsia" w:ascii="仿宋_GB2312" w:eastAsia="仿宋_GB2312"/>
          <w:color w:val="000000"/>
          <w:sz w:val="28"/>
          <w:szCs w:val="28"/>
        </w:rPr>
        <w:t>体</w:t>
      </w:r>
      <w:r>
        <w:rPr>
          <w:rFonts w:ascii="仿宋_GB2312" w:eastAsia="仿宋_GB2312"/>
          <w:color w:val="000000"/>
          <w:sz w:val="28"/>
          <w:szCs w:val="28"/>
        </w:rPr>
        <w:t>函〔20</w:t>
      </w:r>
      <w:r>
        <w:rPr>
          <w:rFonts w:hint="eastAsia" w:ascii="仿宋_GB2312" w:eastAsia="仿宋_GB2312"/>
          <w:color w:val="000000"/>
          <w:sz w:val="28"/>
          <w:szCs w:val="28"/>
        </w:rPr>
        <w:t>2</w:t>
      </w:r>
      <w:r>
        <w:rPr>
          <w:rFonts w:ascii="仿宋_GB2312" w:eastAsia="仿宋_GB2312"/>
          <w:color w:val="000000"/>
          <w:sz w:val="28"/>
          <w:szCs w:val="28"/>
        </w:rPr>
        <w:t>1〕</w:t>
      </w:r>
      <w:r>
        <w:rPr>
          <w:rFonts w:hint="eastAsia" w:ascii="仿宋_GB2312" w:eastAsia="仿宋_GB2312"/>
          <w:color w:val="000000"/>
          <w:sz w:val="28"/>
          <w:szCs w:val="28"/>
        </w:rPr>
        <w:t>XX</w:t>
      </w:r>
      <w:r>
        <w:rPr>
          <w:rFonts w:ascii="仿宋_GB2312" w:eastAsia="仿宋_GB2312"/>
          <w:color w:val="000000"/>
          <w:sz w:val="28"/>
          <w:szCs w:val="28"/>
        </w:rPr>
        <w:t>号</w:t>
      </w:r>
      <w:r>
        <w:rPr>
          <w:rFonts w:hint="eastAsia" w:ascii="仿宋" w:hAnsi="仿宋" w:eastAsia="仿宋" w:cs="仿宋"/>
          <w:color w:val="000000"/>
          <w:kern w:val="0"/>
          <w:sz w:val="28"/>
          <w:szCs w:val="28"/>
        </w:rPr>
        <w:t>《关于组建泸县第二批中小学“名师</w:t>
      </w:r>
      <w:r>
        <w:rPr>
          <w:rFonts w:ascii="仿宋" w:hAnsi="仿宋" w:eastAsia="仿宋" w:cs="仿宋"/>
          <w:color w:val="000000"/>
          <w:kern w:val="0"/>
          <w:sz w:val="28"/>
          <w:szCs w:val="28"/>
        </w:rPr>
        <w:t>名班主任</w:t>
      </w:r>
      <w:r>
        <w:rPr>
          <w:rFonts w:hint="eastAsia" w:ascii="仿宋" w:hAnsi="仿宋" w:eastAsia="仿宋" w:cs="仿宋"/>
          <w:color w:val="000000"/>
          <w:kern w:val="0"/>
          <w:sz w:val="28"/>
          <w:szCs w:val="28"/>
        </w:rPr>
        <w:t>名</w:t>
      </w:r>
      <w:r>
        <w:rPr>
          <w:rFonts w:ascii="仿宋" w:hAnsi="仿宋" w:eastAsia="仿宋" w:cs="仿宋"/>
          <w:color w:val="000000"/>
          <w:kern w:val="0"/>
          <w:sz w:val="28"/>
          <w:szCs w:val="28"/>
        </w:rPr>
        <w:t>校</w:t>
      </w:r>
      <w:r>
        <w:rPr>
          <w:rFonts w:hint="eastAsia" w:ascii="仿宋" w:hAnsi="仿宋" w:eastAsia="仿宋" w:cs="仿宋"/>
          <w:color w:val="000000"/>
          <w:kern w:val="0"/>
          <w:sz w:val="28"/>
          <w:szCs w:val="28"/>
        </w:rPr>
        <w:t>（园）</w:t>
      </w:r>
      <w:r>
        <w:rPr>
          <w:rFonts w:ascii="仿宋" w:hAnsi="仿宋" w:eastAsia="仿宋" w:cs="仿宋"/>
          <w:color w:val="000000"/>
          <w:kern w:val="0"/>
          <w:sz w:val="28"/>
          <w:szCs w:val="28"/>
        </w:rPr>
        <w:t>长</w:t>
      </w:r>
      <w:r>
        <w:rPr>
          <w:rFonts w:hint="eastAsia" w:ascii="仿宋" w:hAnsi="仿宋" w:eastAsia="仿宋" w:cs="仿宋"/>
          <w:color w:val="000000"/>
          <w:kern w:val="0"/>
          <w:sz w:val="28"/>
          <w:szCs w:val="28"/>
        </w:rPr>
        <w:t>”工作室的通知》文件精神，全面落实培养中青年校长、发挥示范辐射作用而建设的工作室。是名校长展示教育智慧、发挥示范辐射作用、实施专业引领的一个平台，为切实保证邓志礼名校长工作室工作的顺利开展，确保工作的质量和效果，特制定本章程。</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第二条 工作室组成</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1.工作室是在泸县教体局领导下，</w:t>
      </w:r>
      <w:r>
        <w:rPr>
          <w:rFonts w:ascii="仿宋" w:hAnsi="仿宋" w:eastAsia="仿宋" w:cs="仿宋"/>
          <w:color w:val="000000"/>
          <w:kern w:val="0"/>
          <w:sz w:val="28"/>
          <w:szCs w:val="28"/>
        </w:rPr>
        <w:t>为培养造就一批政治过硬、品德高尚、业务精湛的校长</w:t>
      </w:r>
      <w:r>
        <w:rPr>
          <w:rFonts w:hint="eastAsia" w:ascii="仿宋" w:hAnsi="仿宋" w:eastAsia="仿宋" w:cs="仿宋"/>
          <w:color w:val="000000"/>
          <w:kern w:val="0"/>
          <w:sz w:val="28"/>
          <w:szCs w:val="28"/>
        </w:rPr>
        <w:t>为</w:t>
      </w:r>
      <w:r>
        <w:rPr>
          <w:rFonts w:ascii="仿宋" w:hAnsi="仿宋" w:eastAsia="仿宋" w:cs="仿宋"/>
          <w:color w:val="000000"/>
          <w:kern w:val="0"/>
          <w:sz w:val="28"/>
          <w:szCs w:val="28"/>
        </w:rPr>
        <w:t>目标，充分发挥工作室的引领示范和辐射作用，由1名领衔人和</w:t>
      </w:r>
      <w:r>
        <w:rPr>
          <w:rFonts w:hint="eastAsia" w:ascii="仿宋" w:hAnsi="仿宋" w:eastAsia="仿宋" w:cs="仿宋"/>
          <w:color w:val="000000"/>
          <w:kern w:val="0"/>
          <w:sz w:val="28"/>
          <w:szCs w:val="28"/>
        </w:rPr>
        <w:t>25</w:t>
      </w:r>
      <w:r>
        <w:rPr>
          <w:rFonts w:ascii="仿宋" w:hAnsi="仿宋" w:eastAsia="仿宋" w:cs="仿宋"/>
          <w:color w:val="000000"/>
          <w:kern w:val="0"/>
          <w:sz w:val="28"/>
          <w:szCs w:val="28"/>
        </w:rPr>
        <w:t>名成员组成</w:t>
      </w:r>
      <w:r>
        <w:rPr>
          <w:rFonts w:hint="eastAsia" w:ascii="仿宋" w:hAnsi="仿宋" w:eastAsia="仿宋" w:cs="仿宋"/>
          <w:color w:val="000000"/>
          <w:kern w:val="0"/>
          <w:sz w:val="28"/>
          <w:szCs w:val="28"/>
        </w:rPr>
        <w:t>的一个共同体。</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领衔人：泸县实验学校校长邓志礼；成员：经遴选产生的政治过硬，作风正派，师德高尚，教学技艺精湛，管理水平高的市内二十五名校长。工作室设秘书组、宣传组、课题组、后勤组、考核组，组长均由工作室成员担任。</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第三条 工作室目标</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1.工作室建设是中小学名校长领航工程培养的核心环节，旨在通过名校长自身的成长和示范引领，营造名校长、中青年校长团队合作和共同发展的良好环境，培养造就一批具有共同教育理想与追求，较强研究与创新能力的新时代教育领军人才队伍。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2.通过工作室的建设，引领泸县教育发展，推动泸县中小学校“一校一品”特色品牌项目的打造，促进区域间的教育优质均衡协调发展。 </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第四条 工作室政策保障</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1.市县各级人民政府为工作室的高效运行提供政策保障和必要的经费支持，诸如工作室成员的遴选、开展区域内校长培训活动和发挥示范引领作用所需要的必要条件保障等。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2.在工作室建设中，具体由泸县教体局负责管理，考核工作室，进修校负责理念引领、智力支持、技术指导和培训资源保障，为校长所在学校的发展和区域内校长和学校的发展提供专业的支持。同时为教育行政部门制定教育发展规划提供理论指导与技术咨询。 </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第五条 工作室经费来源与使用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工作室经费由县教育行政部门配套支持。</w:t>
      </w:r>
      <w:r>
        <w:rPr>
          <w:rFonts w:hint="eastAsia" w:ascii="仿宋_GB2312" w:eastAsia="仿宋_GB2312"/>
          <w:color w:val="000000"/>
          <w:sz w:val="28"/>
          <w:szCs w:val="28"/>
        </w:rPr>
        <w:t>按照每年每个工作室10000元的工作经费给予预算。</w:t>
      </w:r>
      <w:r>
        <w:rPr>
          <w:rFonts w:hint="eastAsia" w:ascii="仿宋" w:hAnsi="仿宋" w:eastAsia="仿宋" w:cs="仿宋"/>
          <w:color w:val="000000"/>
          <w:kern w:val="0"/>
          <w:sz w:val="28"/>
          <w:szCs w:val="28"/>
        </w:rPr>
        <w:t>工作室经费使用按照</w:t>
      </w:r>
      <w:r>
        <w:rPr>
          <w:rFonts w:ascii="仿宋_GB2312" w:eastAsia="仿宋_GB2312"/>
          <w:color w:val="000000"/>
          <w:sz w:val="28"/>
          <w:szCs w:val="28"/>
        </w:rPr>
        <w:t>泸</w:t>
      </w:r>
      <w:r>
        <w:rPr>
          <w:rFonts w:hint="eastAsia" w:ascii="仿宋_GB2312" w:eastAsia="仿宋_GB2312"/>
          <w:color w:val="000000"/>
          <w:sz w:val="28"/>
          <w:szCs w:val="28"/>
        </w:rPr>
        <w:t>县</w:t>
      </w:r>
      <w:r>
        <w:rPr>
          <w:rFonts w:ascii="仿宋_GB2312" w:eastAsia="仿宋_GB2312"/>
          <w:color w:val="000000"/>
          <w:sz w:val="28"/>
          <w:szCs w:val="28"/>
        </w:rPr>
        <w:t>教</w:t>
      </w:r>
      <w:r>
        <w:rPr>
          <w:rFonts w:hint="eastAsia" w:ascii="仿宋_GB2312" w:eastAsia="仿宋_GB2312"/>
          <w:color w:val="000000"/>
          <w:sz w:val="28"/>
          <w:szCs w:val="28"/>
        </w:rPr>
        <w:t>体</w:t>
      </w:r>
      <w:r>
        <w:rPr>
          <w:rFonts w:ascii="仿宋_GB2312" w:eastAsia="仿宋_GB2312"/>
          <w:color w:val="000000"/>
          <w:sz w:val="28"/>
          <w:szCs w:val="28"/>
        </w:rPr>
        <w:t>函〔20</w:t>
      </w:r>
      <w:r>
        <w:rPr>
          <w:rFonts w:hint="eastAsia" w:ascii="仿宋_GB2312" w:eastAsia="仿宋_GB2312"/>
          <w:color w:val="000000"/>
          <w:sz w:val="28"/>
          <w:szCs w:val="28"/>
        </w:rPr>
        <w:t>2</w:t>
      </w:r>
      <w:r>
        <w:rPr>
          <w:rFonts w:ascii="仿宋_GB2312" w:eastAsia="仿宋_GB2312"/>
          <w:color w:val="000000"/>
          <w:sz w:val="28"/>
          <w:szCs w:val="28"/>
        </w:rPr>
        <w:t>1〕</w:t>
      </w:r>
      <w:r>
        <w:rPr>
          <w:rFonts w:hint="eastAsia" w:ascii="仿宋_GB2312" w:eastAsia="仿宋_GB2312"/>
          <w:color w:val="000000"/>
          <w:sz w:val="28"/>
          <w:szCs w:val="28"/>
        </w:rPr>
        <w:t>XX</w:t>
      </w:r>
      <w:r>
        <w:rPr>
          <w:rFonts w:ascii="仿宋_GB2312" w:eastAsia="仿宋_GB2312"/>
          <w:color w:val="000000"/>
          <w:sz w:val="28"/>
          <w:szCs w:val="28"/>
        </w:rPr>
        <w:t>号</w:t>
      </w:r>
      <w:r>
        <w:rPr>
          <w:rFonts w:hint="eastAsia" w:ascii="仿宋" w:hAnsi="仿宋" w:eastAsia="仿宋" w:cs="仿宋"/>
          <w:color w:val="000000"/>
          <w:kern w:val="0"/>
          <w:sz w:val="28"/>
          <w:szCs w:val="28"/>
        </w:rPr>
        <w:t>《关于组建泸县第二批中小学“名师</w:t>
      </w:r>
      <w:r>
        <w:rPr>
          <w:rFonts w:ascii="仿宋" w:hAnsi="仿宋" w:eastAsia="仿宋" w:cs="仿宋"/>
          <w:color w:val="000000"/>
          <w:kern w:val="0"/>
          <w:sz w:val="28"/>
          <w:szCs w:val="28"/>
        </w:rPr>
        <w:t>名班主任</w:t>
      </w:r>
      <w:r>
        <w:rPr>
          <w:rFonts w:hint="eastAsia" w:ascii="仿宋" w:hAnsi="仿宋" w:eastAsia="仿宋" w:cs="仿宋"/>
          <w:color w:val="000000"/>
          <w:kern w:val="0"/>
          <w:sz w:val="28"/>
          <w:szCs w:val="28"/>
        </w:rPr>
        <w:t>名</w:t>
      </w:r>
      <w:r>
        <w:rPr>
          <w:rFonts w:ascii="仿宋" w:hAnsi="仿宋" w:eastAsia="仿宋" w:cs="仿宋"/>
          <w:color w:val="000000"/>
          <w:kern w:val="0"/>
          <w:sz w:val="28"/>
          <w:szCs w:val="28"/>
        </w:rPr>
        <w:t>校</w:t>
      </w:r>
      <w:r>
        <w:rPr>
          <w:rFonts w:hint="eastAsia" w:ascii="仿宋" w:hAnsi="仿宋" w:eastAsia="仿宋" w:cs="仿宋"/>
          <w:color w:val="000000"/>
          <w:kern w:val="0"/>
          <w:sz w:val="28"/>
          <w:szCs w:val="28"/>
        </w:rPr>
        <w:t>（园）</w:t>
      </w:r>
      <w:r>
        <w:rPr>
          <w:rFonts w:ascii="仿宋" w:hAnsi="仿宋" w:eastAsia="仿宋" w:cs="仿宋"/>
          <w:color w:val="000000"/>
          <w:kern w:val="0"/>
          <w:sz w:val="28"/>
          <w:szCs w:val="28"/>
        </w:rPr>
        <w:t>长</w:t>
      </w:r>
      <w:r>
        <w:rPr>
          <w:rFonts w:hint="eastAsia" w:ascii="仿宋" w:hAnsi="仿宋" w:eastAsia="仿宋" w:cs="仿宋"/>
          <w:color w:val="000000"/>
          <w:kern w:val="0"/>
          <w:sz w:val="28"/>
          <w:szCs w:val="28"/>
        </w:rPr>
        <w:t>”工作室的通知》及相关行政管理部门的要求执行。</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第六条 工作室成员的权利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工作室成员有参加本工作室研究、学习、活动及对本工作室提出建议、批评和进行监督的权利。 </w:t>
      </w:r>
    </w:p>
    <w:p>
      <w:pPr>
        <w:widowControl/>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第七条 工作室成员的义务 </w:t>
      </w:r>
    </w:p>
    <w:p>
      <w:pPr>
        <w:widowControl/>
        <w:ind w:firstLine="560" w:firstLineChars="200"/>
        <w:jc w:val="left"/>
        <w:rPr>
          <w:spacing w:val="-6"/>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spacing w:val="-6"/>
          <w:kern w:val="0"/>
          <w:sz w:val="28"/>
          <w:szCs w:val="28"/>
        </w:rPr>
        <w:t xml:space="preserve">工作室成员应严格遵守本工作室的章程，积极参加本工作室活动。 </w:t>
      </w:r>
    </w:p>
    <w:p>
      <w:pPr>
        <w:rPr>
          <w:rFonts w:ascii="仿宋" w:hAnsi="仿宋" w:eastAsia="仿宋" w:cs="仿宋"/>
          <w:sz w:val="28"/>
          <w:szCs w:val="28"/>
        </w:rPr>
      </w:pPr>
      <w:r>
        <w:rPr>
          <w:rFonts w:hint="eastAsia" w:ascii="仿宋" w:hAnsi="仿宋" w:eastAsia="仿宋" w:cs="仿宋"/>
          <w:sz w:val="28"/>
          <w:szCs w:val="28"/>
        </w:rPr>
        <w:t xml:space="preserve">　　2.工作室成员应遵守轮流承办交流活动制度。为促进工作室成员办学水平的逐步提升，搭建相互交流的平台，工作室成员轮流承办各种交流活动，并要做到确保质量，突出特色，共同发展。 </w:t>
      </w:r>
    </w:p>
    <w:p>
      <w:pPr>
        <w:widowControl/>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3.工作室成员应遵守分工协作制度。根据每名工作室成员的实际和特长，成立多个小组。各工作室成员要根据遵守分工职责，积极完成相应工作。</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4.工作室成员应积极参与工作室成员各学校考察。由工作室主持人根据每名成员发展实际，定期组织工作室成员参与泸县教育体育局名校长工作室的各种研修活动，做到接受专业指导，强化理论素养，提升办学水平；或根据每名成员所在学校的发展需要，定期组织工作室成员到各校考察学习，做到对标先进，找准差距，制定措施，促进发展。 </w:t>
      </w:r>
    </w:p>
    <w:p>
      <w:pPr>
        <w:widowControl/>
        <w:ind w:firstLine="560" w:firstLineChars="200"/>
        <w:jc w:val="left"/>
        <w:rPr>
          <w:sz w:val="28"/>
          <w:szCs w:val="28"/>
        </w:rPr>
      </w:pPr>
      <w:r>
        <w:rPr>
          <w:rFonts w:hint="eastAsia" w:ascii="仿宋" w:hAnsi="仿宋" w:eastAsia="仿宋" w:cs="仿宋"/>
          <w:color w:val="000000"/>
          <w:kern w:val="0"/>
          <w:sz w:val="28"/>
          <w:szCs w:val="28"/>
        </w:rPr>
        <w:t xml:space="preserve">5.工作室成员要参与年度总结考核。工作室主持人每年度举办一次针对工作室成员的总结考核，以总结每名成员年度发展成果，并对每名成员进行年度考核，做到总结成果，强化考核，认准目标，促进成长。 </w:t>
      </w:r>
    </w:p>
    <w:p>
      <w:pPr>
        <w:widowControl/>
        <w:jc w:val="left"/>
        <w:rPr>
          <w:rFonts w:ascii="方正小标宋简体" w:hAnsi="方正小标宋简体" w:eastAsia="方正小标宋简体" w:cs="方正小标宋简体"/>
          <w:color w:val="000000"/>
          <w:kern w:val="0"/>
          <w:sz w:val="28"/>
          <w:szCs w:val="28"/>
        </w:rPr>
      </w:pPr>
    </w:p>
    <w:p>
      <w:pPr>
        <w:widowControl/>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eastAsia="zh-CN"/>
        </w:rPr>
        <w:t>八、</w:t>
      </w:r>
      <w:r>
        <w:rPr>
          <w:rFonts w:hint="eastAsia" w:ascii="方正小标宋简体" w:hAnsi="方正小标宋简体" w:eastAsia="方正小标宋简体" w:cs="方正小标宋简体"/>
          <w:color w:val="000000"/>
          <w:kern w:val="0"/>
          <w:sz w:val="32"/>
          <w:szCs w:val="32"/>
        </w:rPr>
        <w:t>工作室成员年度考核方案</w:t>
      </w:r>
    </w:p>
    <w:tbl>
      <w:tblPr>
        <w:tblStyle w:val="4"/>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835"/>
        <w:gridCol w:w="396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0" w:type="dxa"/>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6804" w:type="dxa"/>
            <w:gridSpan w:val="2"/>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评分细则</w:t>
            </w:r>
          </w:p>
        </w:tc>
        <w:tc>
          <w:tcPr>
            <w:tcW w:w="913" w:type="dxa"/>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830" w:type="dxa"/>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师德修养</w:t>
            </w:r>
          </w:p>
        </w:tc>
        <w:tc>
          <w:tcPr>
            <w:tcW w:w="6804" w:type="dxa"/>
            <w:gridSpan w:val="2"/>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树牢“四个意识”，坚定“四个自信”，坚决做到“两个维护”。遵守国家宪法和法律，贯彻党和国家的教育方针，热爱教育事业，具有良好的思想政治素质和职业道德，爱岗敬业。为人师表，关爱学生。</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restart"/>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专业成长“八个</w:t>
            </w:r>
          </w:p>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w:t>
            </w:r>
          </w:p>
        </w:tc>
        <w:tc>
          <w:tcPr>
            <w:tcW w:w="6804" w:type="dxa"/>
            <w:gridSpan w:val="2"/>
          </w:tcPr>
          <w:p>
            <w:pPr>
              <w:numPr>
                <w:ilvl w:val="0"/>
                <w:numId w:val="1"/>
              </w:numPr>
              <w:jc w:val="left"/>
              <w:rPr>
                <w:rFonts w:ascii="Calibri" w:hAnsi="Calibri" w:eastAsia="宋体" w:cs="Times New Roman"/>
                <w:sz w:val="18"/>
                <w:szCs w:val="18"/>
              </w:rPr>
            </w:pPr>
            <w:r>
              <w:rPr>
                <w:rFonts w:hint="eastAsia" w:ascii="Calibri" w:hAnsi="Calibri" w:eastAsia="宋体" w:cs="Times New Roman"/>
                <w:sz w:val="18"/>
                <w:szCs w:val="18"/>
              </w:rPr>
              <w:t>每年精读一本教育教学专著，年终论文形式分享。按时上交了作品计7分，根据论文质量评级，优秀作品加3分，良好2分，合格1分；不合格或未提交不得分。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Calibri" w:hAnsi="Calibri" w:eastAsia="宋体" w:cs="Times New Roman"/>
              </w:rPr>
            </w:pPr>
          </w:p>
        </w:tc>
        <w:tc>
          <w:tcPr>
            <w:tcW w:w="6804" w:type="dxa"/>
            <w:gridSpan w:val="2"/>
          </w:tcPr>
          <w:p>
            <w:pPr>
              <w:jc w:val="left"/>
              <w:rPr>
                <w:rFonts w:ascii="宋体" w:hAnsi="宋体" w:eastAsia="宋体" w:cs="宋体"/>
                <w:color w:val="000000"/>
                <w:kern w:val="0"/>
                <w:sz w:val="18"/>
                <w:szCs w:val="18"/>
              </w:rPr>
            </w:pPr>
            <w:r>
              <w:rPr>
                <w:rFonts w:hint="eastAsia" w:ascii="Calibri" w:hAnsi="Calibri" w:eastAsia="宋体" w:cs="Times New Roman"/>
                <w:sz w:val="18"/>
                <w:szCs w:val="18"/>
              </w:rPr>
              <w:t>2. 举办一次县级及以上专题讲座（公开课）。（以证书</w:t>
            </w:r>
            <w:r>
              <w:rPr>
                <w:rFonts w:ascii="Calibri" w:hAnsi="Calibri" w:eastAsia="宋体" w:cs="Times New Roman"/>
                <w:sz w:val="18"/>
                <w:szCs w:val="18"/>
              </w:rPr>
              <w:t>原件或扫描件</w:t>
            </w:r>
            <w:r>
              <w:rPr>
                <w:rFonts w:hint="eastAsia" w:ascii="Calibri" w:hAnsi="Calibri" w:eastAsia="宋体" w:cs="Times New Roman"/>
                <w:sz w:val="18"/>
                <w:szCs w:val="18"/>
              </w:rPr>
              <w:t>为证）</w:t>
            </w:r>
          </w:p>
        </w:tc>
        <w:tc>
          <w:tcPr>
            <w:tcW w:w="913" w:type="dxa"/>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10</w:t>
            </w:r>
            <w:r>
              <w:rPr>
                <w:rFonts w:hint="eastAsia" w:ascii="宋体" w:hAnsi="宋体" w:eastAsia="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jc w:val="left"/>
              <w:rPr>
                <w:rFonts w:ascii="宋体" w:hAnsi="宋体" w:eastAsia="宋体" w:cs="宋体"/>
                <w:color w:val="000000"/>
                <w:kern w:val="0"/>
                <w:sz w:val="18"/>
                <w:szCs w:val="18"/>
              </w:rPr>
            </w:pPr>
            <w:r>
              <w:rPr>
                <w:rFonts w:hint="eastAsia" w:ascii="Calibri" w:hAnsi="Calibri" w:eastAsia="宋体" w:cs="Times New Roman"/>
                <w:sz w:val="18"/>
                <w:szCs w:val="18"/>
              </w:rPr>
              <w:t>3. 每年听评工作室</w:t>
            </w:r>
            <w:r>
              <w:rPr>
                <w:rFonts w:ascii="Calibri" w:hAnsi="Calibri" w:eastAsia="宋体" w:cs="Times New Roman"/>
                <w:sz w:val="18"/>
                <w:szCs w:val="18"/>
              </w:rPr>
              <w:t>开展的专题讲座</w:t>
            </w:r>
            <w:r>
              <w:rPr>
                <w:rFonts w:hint="eastAsia" w:ascii="Calibri" w:hAnsi="Calibri" w:eastAsia="宋体" w:cs="Times New Roman"/>
                <w:sz w:val="18"/>
                <w:szCs w:val="18"/>
              </w:rPr>
              <w:t>不少于10节。差一节听评课记录扣0.5分。（以研修手册记录为证）</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numPr>
                <w:ilvl w:val="0"/>
                <w:numId w:val="2"/>
              </w:numPr>
              <w:jc w:val="left"/>
              <w:rPr>
                <w:rFonts w:ascii="Calibri" w:hAnsi="Calibri" w:eastAsia="宋体" w:cs="Times New Roman"/>
                <w:sz w:val="18"/>
                <w:szCs w:val="18"/>
              </w:rPr>
            </w:pPr>
            <w:r>
              <w:rPr>
                <w:rFonts w:hint="eastAsia" w:ascii="Calibri" w:hAnsi="Calibri" w:eastAsia="宋体" w:cs="Times New Roman"/>
                <w:sz w:val="18"/>
                <w:szCs w:val="18"/>
              </w:rPr>
              <w:t>拟制一份优秀的品牌打造规划和特色品牌打造的案例（第一年制规划，第二年或第三年完成案例总结）。</w:t>
            </w:r>
          </w:p>
          <w:p>
            <w:pPr>
              <w:jc w:val="left"/>
              <w:rPr>
                <w:rFonts w:ascii="Calibri" w:hAnsi="Calibri" w:eastAsia="宋体" w:cs="Times New Roman"/>
                <w:sz w:val="18"/>
                <w:szCs w:val="18"/>
              </w:rPr>
            </w:pPr>
            <w:r>
              <w:rPr>
                <w:rFonts w:hint="eastAsia" w:ascii="Calibri" w:hAnsi="Calibri" w:eastAsia="宋体" w:cs="Times New Roman"/>
                <w:sz w:val="18"/>
                <w:szCs w:val="18"/>
              </w:rPr>
              <w:t>提交了作品7分，根据作品质量评级，优秀作品加3分，良好2分，合格1分；不合格或未提交不得分。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rPr>
                <w:rFonts w:ascii="宋体" w:hAnsi="宋体" w:eastAsia="宋体" w:cs="宋体"/>
                <w:color w:val="000000"/>
                <w:kern w:val="0"/>
                <w:sz w:val="18"/>
                <w:szCs w:val="18"/>
              </w:rPr>
            </w:pPr>
            <w:r>
              <w:rPr>
                <w:rFonts w:hint="eastAsia" w:ascii="Calibri" w:hAnsi="Calibri" w:eastAsia="宋体" w:cs="Times New Roman"/>
                <w:sz w:val="18"/>
                <w:szCs w:val="18"/>
              </w:rPr>
              <w:t>5.一篇以课题研究相关的教育教学专业论文，获县级及以上奖励或发表。（以证书和出版作品原件为证）</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jc w:val="left"/>
              <w:rPr>
                <w:rFonts w:ascii="宋体" w:hAnsi="宋体" w:eastAsia="宋体" w:cs="宋体"/>
                <w:color w:val="000000"/>
                <w:kern w:val="0"/>
                <w:sz w:val="18"/>
                <w:szCs w:val="18"/>
              </w:rPr>
            </w:pPr>
            <w:r>
              <w:rPr>
                <w:rFonts w:hint="eastAsia" w:ascii="Calibri" w:hAnsi="Calibri" w:eastAsia="宋体" w:cs="Times New Roman"/>
                <w:sz w:val="18"/>
                <w:szCs w:val="18"/>
              </w:rPr>
              <w:t>6. 资源建设。按资源建设完成率计算，提交了作品7分，根据作品质量评级，优秀作品加3分，良好2分，合格1分；不合格或未提交不得分。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jc w:val="left"/>
              <w:rPr>
                <w:rFonts w:ascii="宋体" w:hAnsi="宋体" w:eastAsia="宋体" w:cs="宋体"/>
                <w:color w:val="000000"/>
                <w:kern w:val="0"/>
                <w:sz w:val="18"/>
                <w:szCs w:val="18"/>
              </w:rPr>
            </w:pPr>
            <w:r>
              <w:rPr>
                <w:rFonts w:hint="eastAsia" w:ascii="Calibri" w:hAnsi="Calibri" w:eastAsia="宋体" w:cs="Times New Roman"/>
                <w:sz w:val="18"/>
                <w:szCs w:val="18"/>
              </w:rPr>
              <w:t>7.</w:t>
            </w:r>
            <w:r>
              <w:rPr>
                <w:rFonts w:hint="eastAsia"/>
              </w:rPr>
              <w:t xml:space="preserve"> </w:t>
            </w:r>
            <w:r>
              <w:rPr>
                <w:rFonts w:hint="eastAsia" w:ascii="Calibri" w:hAnsi="Calibri" w:eastAsia="宋体" w:cs="Times New Roman"/>
                <w:sz w:val="18"/>
                <w:szCs w:val="18"/>
              </w:rPr>
              <w:t>课题引领。县级及以上为10分（主研人员），校级级为6分，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6804" w:type="dxa"/>
            <w:gridSpan w:val="2"/>
          </w:tcPr>
          <w:p>
            <w:pPr>
              <w:rPr>
                <w:rFonts w:ascii="Calibri" w:hAnsi="Calibri" w:eastAsia="宋体" w:cs="Times New Roman"/>
                <w:sz w:val="18"/>
                <w:szCs w:val="18"/>
              </w:rPr>
            </w:pPr>
            <w:r>
              <w:rPr>
                <w:rFonts w:hint="eastAsia" w:ascii="Calibri" w:hAnsi="Calibri" w:eastAsia="宋体" w:cs="Times New Roman"/>
                <w:sz w:val="18"/>
                <w:szCs w:val="18"/>
              </w:rPr>
              <w:t>8. 撰写一篇年度总结或者年度成长故事（2000字）。</w:t>
            </w:r>
          </w:p>
          <w:p>
            <w:pPr>
              <w:rPr>
                <w:rFonts w:ascii="Calibri" w:hAnsi="Calibri" w:eastAsia="宋体" w:cs="Times New Roman"/>
                <w:sz w:val="18"/>
                <w:szCs w:val="18"/>
              </w:rPr>
            </w:pPr>
            <w:r>
              <w:rPr>
                <w:rFonts w:hint="eastAsia" w:ascii="Calibri" w:hAnsi="Calibri" w:eastAsia="宋体" w:cs="Times New Roman"/>
                <w:sz w:val="18"/>
                <w:szCs w:val="18"/>
              </w:rPr>
              <w:t>按时上交了作品计7分，根据作品质量评级，优秀作品加3分，良好2分，合格1分；不合格或未提交不得分。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30" w:type="dxa"/>
            <w:vAlign w:val="center"/>
          </w:tcPr>
          <w:p>
            <w:pPr>
              <w:widowControl/>
              <w:spacing w:line="320" w:lineRule="exact"/>
              <w:rPr>
                <w:rFonts w:ascii="宋体" w:hAnsi="宋体" w:eastAsia="宋体" w:cs="宋体"/>
                <w:color w:val="000000"/>
                <w:kern w:val="0"/>
                <w:szCs w:val="21"/>
              </w:rPr>
            </w:pPr>
          </w:p>
        </w:tc>
        <w:tc>
          <w:tcPr>
            <w:tcW w:w="6804" w:type="dxa"/>
            <w:gridSpan w:val="2"/>
          </w:tcPr>
          <w:p>
            <w:pPr>
              <w:rPr>
                <w:rFonts w:hint="eastAsia" w:ascii="Calibri" w:hAnsi="Calibri" w:eastAsia="宋体" w:cs="Times New Roman"/>
                <w:sz w:val="18"/>
                <w:szCs w:val="18"/>
              </w:rPr>
            </w:pPr>
            <w:r>
              <w:rPr>
                <w:rFonts w:hint="eastAsia" w:ascii="Calibri" w:hAnsi="Calibri" w:eastAsia="宋体" w:cs="Times New Roman"/>
                <w:sz w:val="18"/>
                <w:szCs w:val="18"/>
              </w:rPr>
              <w:t>9 每周完成一次管理心得的交流</w:t>
            </w:r>
          </w:p>
        </w:tc>
        <w:tc>
          <w:tcPr>
            <w:tcW w:w="913" w:type="dxa"/>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30" w:type="dxa"/>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出勤情况</w:t>
            </w:r>
          </w:p>
        </w:tc>
        <w:tc>
          <w:tcPr>
            <w:tcW w:w="6804" w:type="dxa"/>
            <w:gridSpan w:val="2"/>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缺席一次现场活动扣2分；缺席两次及以上取消工作室成员资格。(特殊情况经同意的除外)</w:t>
            </w:r>
          </w:p>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迟到、早退视情况扣0.5-1分。</w:t>
            </w:r>
          </w:p>
        </w:tc>
        <w:tc>
          <w:tcPr>
            <w:tcW w:w="913" w:type="dxa"/>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830" w:type="dxa"/>
            <w:vAlign w:val="center"/>
          </w:tcPr>
          <w:p>
            <w:pPr>
              <w:widowControl/>
              <w:spacing w:line="32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活动</w:t>
            </w:r>
          </w:p>
          <w:p>
            <w:pPr>
              <w:widowControl/>
              <w:spacing w:line="32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参与情况</w:t>
            </w:r>
          </w:p>
        </w:tc>
        <w:tc>
          <w:tcPr>
            <w:tcW w:w="6804" w:type="dxa"/>
            <w:gridSpan w:val="2"/>
            <w:vAlign w:val="center"/>
          </w:tcPr>
          <w:p>
            <w:pPr>
              <w:widowControl/>
              <w:tabs>
                <w:tab w:val="left" w:pos="312"/>
              </w:tabs>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服从组长安排，积极参与小组活动、主动配合组内成员完成小组任务满分。</w:t>
            </w:r>
          </w:p>
          <w:p>
            <w:pPr>
              <w:widowControl/>
              <w:tabs>
                <w:tab w:val="left" w:pos="312"/>
              </w:tabs>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不服从安排、做事拖拉、未按要求和规定完成小组任务视情况扣分。</w:t>
            </w:r>
          </w:p>
        </w:tc>
        <w:tc>
          <w:tcPr>
            <w:tcW w:w="913" w:type="dxa"/>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0" w:type="dxa"/>
            <w:vMerge w:val="restart"/>
            <w:vAlign w:val="center"/>
          </w:tcPr>
          <w:p>
            <w:pPr>
              <w:widowControl/>
              <w:spacing w:line="320" w:lineRule="exact"/>
              <w:rPr>
                <w:rFonts w:ascii="宋体" w:hAnsi="宋体" w:eastAsia="宋体" w:cs="宋体"/>
                <w:b/>
                <w:bCs/>
                <w:color w:val="000000"/>
                <w:kern w:val="0"/>
                <w:szCs w:val="21"/>
              </w:rPr>
            </w:pPr>
            <w:r>
              <w:rPr>
                <w:rFonts w:hint="eastAsia" w:ascii="宋体" w:hAnsi="宋体" w:eastAsia="宋体" w:cs="宋体"/>
                <w:b/>
                <w:bCs/>
                <w:color w:val="000000"/>
                <w:kern w:val="0"/>
                <w:szCs w:val="21"/>
              </w:rPr>
              <w:t>业绩</w:t>
            </w:r>
          </w:p>
          <w:p>
            <w:pPr>
              <w:widowControl/>
              <w:spacing w:line="32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附加计分</w:t>
            </w:r>
          </w:p>
        </w:tc>
        <w:tc>
          <w:tcPr>
            <w:tcW w:w="2835"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综合荣誉</w:t>
            </w:r>
          </w:p>
        </w:tc>
        <w:tc>
          <w:tcPr>
            <w:tcW w:w="3969"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国家级6分；省级5分；市级4分，县级3分。</w:t>
            </w:r>
          </w:p>
        </w:tc>
        <w:tc>
          <w:tcPr>
            <w:tcW w:w="913" w:type="dxa"/>
            <w:vMerge w:val="restart"/>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前三名成员颁发年度业绩突出工作室成员证书。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0" w:type="dxa"/>
            <w:vMerge w:val="continue"/>
            <w:vAlign w:val="center"/>
          </w:tcPr>
          <w:p>
            <w:pPr>
              <w:widowControl/>
              <w:spacing w:line="320" w:lineRule="exact"/>
              <w:rPr>
                <w:rFonts w:ascii="Calibri" w:hAnsi="Calibri" w:eastAsia="宋体" w:cs="Times New Roman"/>
              </w:rPr>
            </w:pPr>
          </w:p>
        </w:tc>
        <w:tc>
          <w:tcPr>
            <w:tcW w:w="2835"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基本功优质课展评课技能大赛</w:t>
            </w:r>
          </w:p>
        </w:tc>
        <w:tc>
          <w:tcPr>
            <w:tcW w:w="3969"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市一等5分，二等4分，三等3分；</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县一等3分，二等2分，三等1分。</w:t>
            </w:r>
          </w:p>
        </w:tc>
        <w:tc>
          <w:tcPr>
            <w:tcW w:w="913" w:type="dxa"/>
            <w:vMerge w:val="continue"/>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2835"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论文发表或获奖</w:t>
            </w:r>
          </w:p>
        </w:tc>
        <w:tc>
          <w:tcPr>
            <w:tcW w:w="3969"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市一等</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分，二等2分，三等1分；</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县一等</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分，二等</w:t>
            </w: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分，三等</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分.</w:t>
            </w:r>
          </w:p>
        </w:tc>
        <w:tc>
          <w:tcPr>
            <w:tcW w:w="913" w:type="dxa"/>
            <w:vMerge w:val="continue"/>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30" w:type="dxa"/>
            <w:vMerge w:val="continue"/>
            <w:vAlign w:val="center"/>
          </w:tcPr>
          <w:p>
            <w:pPr>
              <w:widowControl/>
              <w:spacing w:line="320" w:lineRule="exact"/>
              <w:rPr>
                <w:rFonts w:ascii="宋体" w:hAnsi="宋体" w:eastAsia="宋体" w:cs="宋体"/>
                <w:color w:val="000000"/>
                <w:kern w:val="0"/>
                <w:szCs w:val="21"/>
              </w:rPr>
            </w:pPr>
          </w:p>
        </w:tc>
        <w:tc>
          <w:tcPr>
            <w:tcW w:w="2835"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科研课题获奖</w:t>
            </w:r>
          </w:p>
        </w:tc>
        <w:tc>
          <w:tcPr>
            <w:tcW w:w="3969" w:type="dxa"/>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市一等5分，二等4分，三等3分；</w:t>
            </w:r>
          </w:p>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县一等3分，二等2分，三等1分；</w:t>
            </w:r>
          </w:p>
        </w:tc>
        <w:tc>
          <w:tcPr>
            <w:tcW w:w="913" w:type="dxa"/>
            <w:vMerge w:val="continue"/>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30" w:type="dxa"/>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b/>
                <w:bCs/>
                <w:color w:val="000000"/>
                <w:kern w:val="0"/>
                <w:szCs w:val="21"/>
              </w:rPr>
              <w:t>考核结果认定</w:t>
            </w:r>
          </w:p>
        </w:tc>
        <w:tc>
          <w:tcPr>
            <w:tcW w:w="7717" w:type="dxa"/>
            <w:gridSpan w:val="3"/>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年终得分基础分为80分以上为优秀，颁发优秀工作室成员证书；70-79分为合格；60-69分为基本合格；60以下为不合格。基本合格成员待考察下一年是否继续成为工作室成员，不合格成员下一年取消其成为工作室成员。</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60EC4"/>
    <w:multiLevelType w:val="singleLevel"/>
    <w:tmpl w:val="8E860EC4"/>
    <w:lvl w:ilvl="0" w:tentative="0">
      <w:start w:val="1"/>
      <w:numFmt w:val="decimal"/>
      <w:suff w:val="space"/>
      <w:lvlText w:val="%1."/>
      <w:lvlJc w:val="left"/>
    </w:lvl>
  </w:abstractNum>
  <w:abstractNum w:abstractNumId="1">
    <w:nsid w:val="39117BB9"/>
    <w:multiLevelType w:val="singleLevel"/>
    <w:tmpl w:val="39117BB9"/>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2511B"/>
    <w:rsid w:val="5AF1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*瑜</cp:lastModifiedBy>
  <dcterms:modified xsi:type="dcterms:W3CDTF">2021-12-28T23:47:56Z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1E848264C1BD48C6A80C34B22EB8C9D3</vt:lpwstr>
  </property>
</Properties>
</file>